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 Всероссийская научная конференция студентов и аспирантов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международным участием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«МОЛОДАЯ ФАРМАЦИЯ – ПОТЕНЦИАЛ БУДУЩЕГО»,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 марта – 23 апреля 2021 года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Приглашаем вас принять участие в XI Всероссийской научной конференции студентов и аспирантов с международным участием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МОЛОДАЯ ФАРМАЦИЯ – ПОТЕНЦИАЛ БУДУЩЕГО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которая  будет проходить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29 марта по 23 апреля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«Санкт-Петербургском химико-фармацевтический университете» в смешанном, очно-дистанционном формате.</w:t>
      </w:r>
      <w:proofErr w:type="gramEnd"/>
    </w:p>
    <w:p w:rsidR="00452C5C" w:rsidRDefault="00452C5C" w:rsidP="00452C5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конференции: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http://www.ypharm.spcpu.ru</w:t>
        </w:r>
      </w:hyperlink>
    </w:p>
    <w:p w:rsidR="00452C5C" w:rsidRDefault="00452C5C" w:rsidP="00452C5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52C5C" w:rsidRDefault="00452C5C" w:rsidP="00452C5C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Участником (докладчиком) конференции может стать студент, ординатор, аспирант или соискатель до 35 лет,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имеющий ученой степени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C5C" w:rsidRDefault="00452C5C" w:rsidP="00452C5C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ВАЖНЫЕ ДАТЫ КОНФЕРЕНЦИИ</w:t>
      </w:r>
    </w:p>
    <w:p w:rsidR="00452C5C" w:rsidRDefault="00452C5C" w:rsidP="00452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numPr>
          <w:ilvl w:val="0"/>
          <w:numId w:val="8"/>
        </w:numPr>
        <w:spacing w:after="0" w:line="240" w:lineRule="auto"/>
        <w:ind w:left="426" w:hanging="360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08 февраля по 10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</w:rPr>
        <w:t>подача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тезисов докладов;</w:t>
      </w:r>
    </w:p>
    <w:p w:rsidR="00452C5C" w:rsidRDefault="00452C5C" w:rsidP="00452C5C">
      <w:pPr>
        <w:pStyle w:val="Standard"/>
        <w:numPr>
          <w:ilvl w:val="0"/>
          <w:numId w:val="5"/>
        </w:numPr>
        <w:spacing w:after="0" w:line="240" w:lineRule="auto"/>
        <w:ind w:left="426" w:hanging="360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29 марта по 5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выступления на отборочном этапе в структурных подразделениях университета;</w:t>
      </w:r>
    </w:p>
    <w:p w:rsidR="00452C5C" w:rsidRDefault="00452C5C" w:rsidP="00452C5C">
      <w:pPr>
        <w:pStyle w:val="Standard"/>
        <w:numPr>
          <w:ilvl w:val="0"/>
          <w:numId w:val="5"/>
        </w:numPr>
        <w:spacing w:after="0" w:line="240" w:lineRule="auto"/>
        <w:ind w:left="426" w:hanging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14 по 21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выступления на тематических секциях;</w:t>
      </w:r>
    </w:p>
    <w:p w:rsidR="00452C5C" w:rsidRDefault="00452C5C" w:rsidP="00452C5C">
      <w:pPr>
        <w:pStyle w:val="Standard"/>
        <w:numPr>
          <w:ilvl w:val="0"/>
          <w:numId w:val="5"/>
        </w:numPr>
        <w:spacing w:after="0" w:line="240" w:lineRule="auto"/>
        <w:ind w:left="426" w:hanging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23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пленарное заседание;</w:t>
      </w:r>
    </w:p>
    <w:p w:rsidR="00452C5C" w:rsidRDefault="00452C5C" w:rsidP="00452C5C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Доклады  на отборочном этапе носят конкурсный характер. Лучшие работы будут представлены в тематических секциях.</w:t>
      </w:r>
    </w:p>
    <w:p w:rsidR="00452C5C" w:rsidRDefault="00452C5C" w:rsidP="00452C5C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тематических секций награждаются дипломами 1, 2, 3 степени и получат возможность представить свои исследовательские проекты на пленарном заседании.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ФОРМАТЫ УЧАСТИЯ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2C5C" w:rsidRDefault="00452C5C" w:rsidP="00452C5C">
      <w:pPr>
        <w:pStyle w:val="Standard"/>
        <w:numPr>
          <w:ilvl w:val="0"/>
          <w:numId w:val="9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тезисов, без участия в работе секций (без доклада), без участия в  конкурсной программе научных работ;</w:t>
      </w:r>
    </w:p>
    <w:p w:rsidR="00452C5C" w:rsidRDefault="00452C5C" w:rsidP="00452C5C">
      <w:pPr>
        <w:pStyle w:val="Standard"/>
        <w:numPr>
          <w:ilvl w:val="0"/>
          <w:numId w:val="4"/>
        </w:num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конкурсной программе научных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тезисов, доклад на кафедральной и тематической секци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2C5C" w:rsidRDefault="00452C5C" w:rsidP="00452C5C">
      <w:pPr>
        <w:pStyle w:val="Standar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Тезисы публикуются в сборнике «Материалы  XI Всероссийской научной конференции студентов и аспирантов с международным участием «МОЛОДАЯ ФАРМАЦИЯ – ПОТЕНЦИАЛ БУДУЩЕГО».</w:t>
      </w:r>
    </w:p>
    <w:p w:rsidR="00452C5C" w:rsidRDefault="00452C5C" w:rsidP="00452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Официальные языки конференции: русский, английский, французский.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2C5C" w:rsidRDefault="00452C5C" w:rsidP="00452C5C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pageBreakBefore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УЧАСТИЯ В РАБОТЕ КОНФЕРЕНЦИИ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10 марта авторам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 на участие, которая должна включать тезисы докладов, оформленные в соответствии с установленной формой.</w:t>
      </w:r>
    </w:p>
    <w:p w:rsidR="00452C5C" w:rsidRDefault="00452C5C" w:rsidP="00452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Для участия в работе конференции необходимо зарегистрироваться, заполнив форму до 23:59 10 марта 2021 г., а также наличие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-аккаунта.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регистрации участника конференции</w:t>
      </w:r>
    </w:p>
    <w:p w:rsidR="00452C5C" w:rsidRDefault="00452C5C" w:rsidP="00452C5C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«МОЛОДАЯ ФАРМАЦИЯ – ПОТЕНЦИАЛ БУДУЩЕГО»</w:t>
      </w:r>
    </w:p>
    <w:p w:rsidR="00452C5C" w:rsidRDefault="00452C5C" w:rsidP="00452C5C">
      <w:pPr>
        <w:pStyle w:val="Standard"/>
        <w:shd w:val="clear" w:color="auto" w:fill="FFFFFF"/>
        <w:spacing w:after="0" w:line="240" w:lineRule="auto"/>
        <w:jc w:val="center"/>
      </w:pPr>
      <w:r>
        <w:rPr>
          <w:rStyle w:val="Internetlink"/>
          <w:b/>
        </w:rPr>
        <w:t>(</w:t>
      </w:r>
      <w:hyperlink r:id="rId7" w:history="1">
        <w:r>
          <w:rPr>
            <w:rStyle w:val="Internetlink"/>
            <w:rFonts w:ascii="Times New Roman" w:eastAsia="Times New Roman" w:hAnsi="Times New Roman"/>
            <w:b/>
            <w:sz w:val="24"/>
            <w:szCs w:val="24"/>
          </w:rPr>
          <w:t>https://forms.gle/HH2B91ekhCrqq4y97</w:t>
        </w:r>
      </w:hyperlink>
      <w:r>
        <w:rPr>
          <w:rStyle w:val="Internetlink"/>
          <w:b/>
        </w:rPr>
        <w:t>)</w:t>
      </w:r>
    </w:p>
    <w:p w:rsidR="00452C5C" w:rsidRDefault="00452C5C" w:rsidP="00452C5C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10 по 26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проводиться научная экспертиза тезисов. Каждый автор получит сообщение о приёме тезисов и приглашение к участию в работе конференции или аргументированный отказ.</w:t>
      </w:r>
    </w:p>
    <w:p w:rsidR="00452C5C" w:rsidRDefault="00452C5C" w:rsidP="00452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C5C" w:rsidRDefault="00452C5C" w:rsidP="00452C5C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29 марта по 5 апреля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кафедрах и в научных центрах университета запланировано проведение отборочного этапа конференции (онлайн выступления), по итогам которого будут определены лучшие доклады для участия в объединённых тематических секциях второго этапа. Заседания пройдут в структурных подразделениях.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2C5C" w:rsidRDefault="00452C5C" w:rsidP="00452C5C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14 по 21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(онлайн выступления)</w:t>
      </w:r>
      <w:r>
        <w:rPr>
          <w:rFonts w:ascii="Times New Roman" w:eastAsia="Times New Roman" w:hAnsi="Times New Roman" w:cs="Times New Roman"/>
          <w:sz w:val="24"/>
          <w:szCs w:val="24"/>
        </w:rPr>
        <w:t>; конкурсная программа научных докладов.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жюри секций будут входить представители организаций – партнёров университета: производителей оборудования, фармацевтических компаний, аптечных сетей.</w:t>
      </w:r>
    </w:p>
    <w:p w:rsidR="00452C5C" w:rsidRDefault="00452C5C" w:rsidP="00452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ТЕМАТИКИ СЕКЦИЙ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Технологии направленного синтеза для получения активных фармацевтических субстанций;</w:t>
      </w:r>
    </w:p>
    <w:p w:rsidR="00452C5C" w:rsidRDefault="00452C5C" w:rsidP="00452C5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Моделирование патологических состояний и методы их оценки. Фармакологическая оценка природных и синтетических соединений;</w:t>
      </w:r>
    </w:p>
    <w:p w:rsidR="00452C5C" w:rsidRDefault="00452C5C" w:rsidP="00452C5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Современные подходы к контролю качества лекарственных средств синтетического и природного происхождения, лечебной косметики и биологически активных добавок;</w:t>
      </w:r>
    </w:p>
    <w:p w:rsidR="00452C5C" w:rsidRDefault="00452C5C" w:rsidP="00452C5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Аддитивные технологии в фармации и медицине;</w:t>
      </w:r>
    </w:p>
    <w:p w:rsidR="00452C5C" w:rsidRDefault="00452C5C" w:rsidP="00452C5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Пути развития российской фармацевтической промышленности и совершенствование технологий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452C5C" w:rsidRDefault="00452C5C" w:rsidP="00452C5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Современные аспекты биотехнологии в медицине и фармации;</w:t>
      </w:r>
    </w:p>
    <w:p w:rsidR="00452C5C" w:rsidRDefault="00452C5C" w:rsidP="00452C5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Современные вопросы фармацевтической технологии;</w:t>
      </w:r>
    </w:p>
    <w:p w:rsidR="00452C5C" w:rsidRDefault="00452C5C" w:rsidP="00452C5C">
      <w:pPr>
        <w:pStyle w:val="Standard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Pharmacy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452C5C" w:rsidRDefault="00452C5C" w:rsidP="00452C5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Фармация в среднем профессиональном образовании: экспериментальные и теоретические исследования.</w:t>
      </w:r>
    </w:p>
    <w:p w:rsidR="00452C5C" w:rsidRDefault="00452C5C" w:rsidP="00452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52C5C" w:rsidRDefault="00452C5C" w:rsidP="00452C5C">
      <w:pPr>
        <w:pStyle w:val="a3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23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пленарное заседание </w:t>
      </w:r>
      <w:r>
        <w:rPr>
          <w:rFonts w:ascii="Times New Roman" w:eastAsia="Times New Roman" w:hAnsi="Times New Roman" w:cs="Times New Roman"/>
          <w:sz w:val="24"/>
          <w:szCs w:val="24"/>
        </w:rPr>
        <w:t>в смешанном, очно-дистанционном формате,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котором победители секционных выступлений представят свои доклады для широкой аудитории</w:t>
      </w:r>
      <w:r>
        <w:rPr>
          <w:rFonts w:ascii="Times New Roman" w:eastAsia="Times New Roman" w:hAnsi="Times New Roman" w:cs="Times New Roman"/>
          <w:sz w:val="24"/>
          <w:szCs w:val="24"/>
        </w:rPr>
        <w:t>, будут подведены итоги конкурсной программы.</w:t>
      </w:r>
    </w:p>
    <w:p w:rsidR="00452C5C" w:rsidRDefault="00452C5C" w:rsidP="00452C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2C5C" w:rsidRDefault="00452C5C" w:rsidP="00452C5C">
      <w:pPr>
        <w:pStyle w:val="a3"/>
        <w:pageBreakBefore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ОФОРМЛЕНИЯ РУКОПИСЕЙ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МАТЕРИАЛОВ ДОКЛАДОВ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 публикации принимаются экспериментальные и исследовательские, обзорные научные работы.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Рукописи принимаются на бесплатной основе, публикуются только после рассмотрения и утверждения редакционным советом, который оставляет за собой право отклонить рукописи, не соответствующие тематике конференции, или оформленные с нарушениями принятых редакционным советом правил, или потребовать от авторов дополнительного редактирования. Переписка с авторами, а также подтверждение редакционным советом принятия тезисов к публикации производится по электронной почте: </w:t>
      </w:r>
      <w:hyperlink r:id="rId8" w:history="1">
        <w:r>
          <w:rPr>
            <w:rFonts w:ascii="Times New Roman" w:eastAsia="Times New Roman" w:hAnsi="Times New Roman" w:cs="Times New Roman"/>
            <w:color w:val="0097A7"/>
            <w:sz w:val="24"/>
            <w:szCs w:val="24"/>
            <w:u w:val="single"/>
          </w:rPr>
          <w:t>young.pharm@pharminnotech.com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Тезисы необходимо представить в электронном виде, одним файлом. Название файла: фамилия и инициалы автора (например,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Петров_П.П.doc)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докладов (форматы файлов 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Название файла презентации – по фамилии и инициалы докладчика. Например,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Иванов_И.И._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презентация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Презентации высылаются автором в адрес орг. комитета  </w:t>
      </w:r>
      <w:hyperlink r:id="rId9" w:history="1">
        <w:r>
          <w:rPr>
            <w:rFonts w:ascii="Times New Roman" w:eastAsia="Times New Roman" w:hAnsi="Times New Roman" w:cs="Times New Roman"/>
            <w:color w:val="0097A7"/>
            <w:sz w:val="24"/>
            <w:szCs w:val="24"/>
            <w:u w:val="single"/>
          </w:rPr>
          <w:t>young.pharm@pharminnotech.com</w:t>
        </w:r>
      </w:hyperlink>
      <w:r>
        <w:rPr>
          <w:rFonts w:ascii="Times New Roman" w:eastAsia="Times New Roman" w:hAnsi="Times New Roman" w:cs="Times New Roman"/>
          <w:color w:val="0097A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22 марта по 26 марта 2021 г.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C5C" w:rsidRDefault="00452C5C" w:rsidP="00452C5C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Рекомендации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и молодых ученых, участвующих в конференции без доклада (выступления) на секциях, без участия в конкурсной программе рекомендуется подготовить тезисы в соответствии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C5C" w:rsidRDefault="00452C5C" w:rsidP="00452C5C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название тезисов;</w:t>
      </w:r>
    </w:p>
    <w:p w:rsidR="00452C5C" w:rsidRDefault="00452C5C" w:rsidP="00452C5C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данные об авторах и руководителях;</w:t>
      </w:r>
    </w:p>
    <w:p w:rsidR="00452C5C" w:rsidRDefault="00452C5C" w:rsidP="00452C5C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название и адрес образовательной организации;</w:t>
      </w:r>
    </w:p>
    <w:p w:rsidR="00452C5C" w:rsidRDefault="00452C5C" w:rsidP="00452C5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тезисов (от 1500 до 3000 знаков, включая пробелы) на русском языке;</w:t>
      </w:r>
    </w:p>
    <w:p w:rsidR="00452C5C" w:rsidRDefault="00452C5C" w:rsidP="00452C5C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формат листа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размеры всех полей – 2 см;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</w:rPr>
        <w:t>, кегль 12;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расстановка переносов отключена;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междустрочный интервал — 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по ширине;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абзацный отступ — 1,25 см.</w:t>
      </w:r>
    </w:p>
    <w:p w:rsidR="00452C5C" w:rsidRDefault="00452C5C" w:rsidP="00452C5C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работы указывается по центру полужирно, строчными буквами, с выравниванием по ширине.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следуют </w:t>
      </w:r>
      <w:r>
        <w:rPr>
          <w:rFonts w:ascii="Times New Roman" w:eastAsia="Times New Roman" w:hAnsi="Times New Roman" w:cs="Times New Roman"/>
          <w:sz w:val="24"/>
          <w:szCs w:val="24"/>
        </w:rPr>
        <w:t>фамилия и инициалы (полужирно), указание курса и года обучения каждого из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Затем – данные о научном руководителе: его 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инициалы ученая степень и должность.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этого указывают </w:t>
      </w:r>
      <w:r>
        <w:rPr>
          <w:rFonts w:ascii="Times New Roman" w:eastAsia="Times New Roman" w:hAnsi="Times New Roman" w:cs="Times New Roman"/>
          <w:sz w:val="24"/>
          <w:szCs w:val="24"/>
        </w:rPr>
        <w:t>полное название учреждения, в котором обучается (работает) автор, почтовый индекс, название города, улицы и номер дома, где находится учреждение, страну.</w:t>
      </w:r>
    </w:p>
    <w:p w:rsidR="00452C5C" w:rsidRDefault="00452C5C" w:rsidP="00452C5C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пустой строки указывают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первого автора и курсивом ключевые слова.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Затем, </w:t>
      </w:r>
      <w:r>
        <w:rPr>
          <w:rFonts w:ascii="Times New Roman" w:eastAsia="Times New Roman" w:hAnsi="Times New Roman" w:cs="Times New Roman"/>
          <w:sz w:val="24"/>
          <w:szCs w:val="24"/>
        </w:rPr>
        <w:t>после пустой строки, идёт текст тезисов с выравниванием по ширине.</w:t>
      </w:r>
    </w:p>
    <w:p w:rsidR="00452C5C" w:rsidRDefault="00452C5C" w:rsidP="00452C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и молодых ученых,  выступающих с докладом и участвующих в конкурсной программе, необходимо подготовить развернутые тезисы в соответствии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Размер развернутых тезисов, включая список литературы, иллюстрации и таблицы не должны превышать 7 страниц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Развернутые тезисы  состоят из следующих частей: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Название тезисов.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Данные об авторах и руководителях.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Название и адрес образовательной организации.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Аннотация (30 – 100 слов). </w:t>
      </w:r>
      <w:r>
        <w:rPr>
          <w:rFonts w:ascii="Times New Roman" w:eastAsia="Times New Roman" w:hAnsi="Times New Roman" w:cs="Times New Roman"/>
          <w:sz w:val="24"/>
          <w:szCs w:val="24"/>
        </w:rPr>
        <w:t>В аннотации следует кратко указать цель и основные результаты работы, сделать обобщённое заключение об исследовании.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Ключевые слова.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6 ключевых слов, отражающих содержание работы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Введение.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Следует указать актуальность, цель и задачи работы.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Внимание! Рукописи без ясно сформулированной цели исследования будут отклонены.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Основная часть. </w:t>
      </w:r>
      <w:r>
        <w:rPr>
          <w:rFonts w:ascii="Times New Roman" w:eastAsia="Times New Roman" w:hAnsi="Times New Roman" w:cs="Times New Roman"/>
          <w:sz w:val="24"/>
          <w:szCs w:val="24"/>
        </w:rPr>
        <w:t>Для экспериментальных работ должна включать разделы «Материалы и методы» и «Результаты и обсуждение». Исследования и обзоры должны иметь структуру, соответствующую цели и задачам работы.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Заключение.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должны быть обобщены результаты работы и сделаны общие выводы в соответствии с целью и задачами работы.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Внимание! Рукописи с заключением, не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соответствующем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цели исследования, будут отклонены.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 не более 5–6 источников для оригинальных работ и не более 25 и не менее 15 для исследований обзорного характера. В список литературы должны входить оригинальные исследовательские статьи, материалы научных конференций, ссылки на специализированные научные сайты и базы данных, нормативные документы.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Внимание! Недопустимы ссылки на учебники, учебно-методические пособия, научно-популярную литературу. Вместо ссылок на диссертации и авторефераты диссертаций рекомендуется приводить ссылки на соответствующие публикации.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Название тезисов, данные об авторах, название и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 организации, аннотация, ключевые слова и список литературы на английском языке.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2C5C" w:rsidRDefault="00452C5C" w:rsidP="00452C5C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оформлению текста рукописи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Формат листа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размеры всех полей – 2 см;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кегль 12;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расстановка переносов отключена;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междустрочный интервал — 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по ширине;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абзацный отступ — 1,25 см.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работы указывается по центру полужирно, строчными буквами, с выравниванием по ширине.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следуют </w:t>
      </w:r>
      <w:r>
        <w:rPr>
          <w:rFonts w:ascii="Times New Roman" w:eastAsia="Times New Roman" w:hAnsi="Times New Roman" w:cs="Times New Roman"/>
          <w:sz w:val="24"/>
          <w:szCs w:val="24"/>
        </w:rPr>
        <w:t>фамилия и инициалы (полужирно), указание курса или года обучения каждого из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Затем – данные о научном руководителе: его 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инициалы ученая степень и должность.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этого указывают </w:t>
      </w:r>
      <w:r>
        <w:rPr>
          <w:rFonts w:ascii="Times New Roman" w:eastAsia="Times New Roman" w:hAnsi="Times New Roman" w:cs="Times New Roman"/>
          <w:sz w:val="24"/>
          <w:szCs w:val="24"/>
        </w:rPr>
        <w:t>полное название учреждения, в котором обучается (работает) автор, почтовый индекс, название города, улицы и номер дома, где находится учреждение, страну.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пустой строки указывают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первого автора, аннотацию и курсивом ключевые слова.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</w:t>
      </w:r>
      <w:r>
        <w:rPr>
          <w:rFonts w:ascii="Times New Roman" w:eastAsia="Times New Roman" w:hAnsi="Times New Roman" w:cs="Times New Roman"/>
          <w:sz w:val="24"/>
          <w:szCs w:val="24"/>
        </w:rPr>
        <w:t>после ещё одной пустой строки идёт текст тезисов с выравниванием по ширине.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на русском и английском языках должен быть оформлен в соответствии с широко распространённым для научных публикаций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ванкуверским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стилем цитирования, ознакомится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можно здесь: </w:t>
      </w:r>
      <w:hyperlink r:id="rId10" w:history="1">
        <w:r>
          <w:rPr>
            <w:rStyle w:val="Internetlink"/>
            <w:rFonts w:ascii="Times New Roman" w:eastAsia="Times New Roman" w:hAnsi="Times New Roman"/>
            <w:sz w:val="24"/>
            <w:szCs w:val="24"/>
          </w:rPr>
          <w:t>https://ru.qaz.wiki/wiki/Vancouver_system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На сайте </w:t>
      </w:r>
      <w:hyperlink r:id="rId11" w:history="1">
        <w:r>
          <w:rPr>
            <w:rStyle w:val="Internetlink"/>
            <w:rFonts w:ascii="Times New Roman" w:eastAsia="Times New Roman" w:hAnsi="Times New Roman"/>
            <w:sz w:val="24"/>
            <w:szCs w:val="24"/>
          </w:rPr>
          <w:t>https://search.crossref.org/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автоматически оформить ссылку на публикацию, имеющую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требованиями данного стиля. Источники указывают в порядке цитирования. Примеры оформления книг, монографий, научных статей и электронных источников представлены в образце ниже. Если статья имеет номер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eastAsia="Times New Roman" w:hAnsi="Times New Roman" w:cs="Times New Roman"/>
          <w:sz w:val="24"/>
          <w:szCs w:val="24"/>
        </w:rPr>
        <w:t>, его обязательно нужно указать. После ссылки на русскоязычный источник следует добавить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Рисунки и таблицы должны располагаться в тексте. Рисунки должны иметь формат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tiff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разрешение не менее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Допустимо разместить не более 5 (пяти) рисунков и иллюстраций.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Таблицы и рисунки должны иметь номера и названия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 – Название</w:t>
      </w:r>
      <w:r>
        <w:rPr>
          <w:rFonts w:ascii="Times New Roman" w:eastAsia="Times New Roman" w:hAnsi="Times New Roman" w:cs="Times New Roman"/>
          <w:sz w:val="24"/>
          <w:szCs w:val="24"/>
        </w:rPr>
        <w:t>»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Рисунок 1. Название»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выравниванием по центру (полужирно). Если тезисы содержат только один рисунок или таблицу, то номер не ставится.</w:t>
      </w:r>
    </w:p>
    <w:p w:rsidR="00452C5C" w:rsidRDefault="00452C5C" w:rsidP="00452C5C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Буквенные сокращения в тексте допускаются только после полной расшифровки понятия; сокращения, кроме общепринятых, не допускаются; используется система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единиц СИ.</w:t>
      </w:r>
    </w:p>
    <w:p w:rsidR="00452C5C" w:rsidRDefault="00452C5C" w:rsidP="00452C5C">
      <w:pPr>
        <w:pStyle w:val="Standard"/>
        <w:pageBreakBefore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2C5C" w:rsidRDefault="00452C5C" w:rsidP="00452C5C">
      <w:pPr>
        <w:pStyle w:val="Standard"/>
        <w:keepNext/>
        <w:pBdr>
          <w:bottom w:val="single" w:sz="6" w:space="1" w:color="000000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Образец оформления тезисов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КАПИЛЛЯРНЫЙ ЗОНАЛЬНЫЙ ЭЛЕКТРОФОРЕЗ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ОПРЕДЕЛЕНИИ НЕОРГАНИЧЕСКИХ КАТИОНОВ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ЛЕКАРСТВЕННЫХ ПРЕПАРАТАХ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Плеханова М.М.</w:t>
      </w:r>
      <w:r>
        <w:rPr>
          <w:rFonts w:ascii="Times New Roman" w:eastAsia="Times New Roman" w:hAnsi="Times New Roman" w:cs="Times New Roman"/>
          <w:sz w:val="24"/>
          <w:szCs w:val="24"/>
        </w:rPr>
        <w:t>, студ. 5 курса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 года обучения)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Иванов И.И.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фарм. наук, проф.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Санкт-Петербургский государственный химико-фармацевтический университет,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197376, Санкт-Петербург, ул. проф. Попова, д. 14, Российская Федерация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Pr="00AF3076" w:rsidRDefault="00452C5C" w:rsidP="00452C5C">
      <w:pPr>
        <w:pStyle w:val="Standard"/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margarita.plekhanova@pharminnotech.com</w:t>
        </w:r>
      </w:hyperlink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 методика качественного и количественного анализа катионов калия, натрия, кальция и магния в лекарственных препаратах методом капиллярного зонального электрофореза с использованием катионов лития в качестве внутреннего стандарта.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капиллярный электрофорез, капиллярный зональный электрофорез, неорганические катионы.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Катионы калия и магния входят в состав ряда лекарственных средств [1]. В настоящее время для определения катионов калия и натрия в лекарственных препаратах используется метод пламенной фотометрии, а катионов кальция и магния – метод комплексонометрии [2]. Оба метода обладают следующими недостатками: для пламенной фотометрии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 (далее – текст статьи).</w:t>
      </w:r>
    </w:p>
    <w:p w:rsidR="00452C5C" w:rsidRDefault="00452C5C" w:rsidP="00452C5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 и методы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Объектами исследования служили 12 лекарственных препаратов: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Аспаркам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 .…(далее – текст статьи).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и обсуждение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анализа представлены в таблице 1.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 – Результаты количественного определения магния цитрата в гранулах боярышника, магния цитрата и калия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аспарагината</w:t>
      </w:r>
      <w:proofErr w:type="spellEnd"/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3404"/>
        <w:gridCol w:w="991"/>
        <w:gridCol w:w="568"/>
        <w:gridCol w:w="566"/>
        <w:gridCol w:w="869"/>
        <w:gridCol w:w="1109"/>
        <w:gridCol w:w="1098"/>
      </w:tblGrid>
      <w:tr w:rsidR="00452C5C" w:rsidTr="00793CEF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Среднее содержание, 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p,f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ε, %</w:t>
            </w:r>
          </w:p>
        </w:tc>
      </w:tr>
      <w:tr w:rsidR="00452C5C" w:rsidTr="00793CEF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C5C" w:rsidRDefault="00452C5C" w:rsidP="00793CE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результаты графически представлены на рисунке 1.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A7A52C4" wp14:editId="31C5F362">
            <wp:extent cx="2993400" cy="2329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400" cy="232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Рисунок 1. Зависимость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1/t –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для водных дисперсий декстрана различных концентраций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 методика качественного и количественного анализа катионов калия, натрия, кальция и магния в лекарственных препаратах методом капиллярного зонального электрофореза, (далее – текст заключения).</w:t>
      </w:r>
    </w:p>
    <w:p w:rsidR="00452C5C" w:rsidRDefault="00452C5C" w:rsidP="00452C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numPr>
          <w:ilvl w:val="0"/>
          <w:numId w:val="14"/>
        </w:numPr>
        <w:spacing w:after="0" w:line="240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МД. Лекарственные средства. 16 изд. М.: РИА «Новая волна»; 2012: 1216.</w:t>
      </w:r>
    </w:p>
    <w:p w:rsidR="00452C5C" w:rsidRDefault="00452C5C" w:rsidP="00452C5C">
      <w:pPr>
        <w:pStyle w:val="Standard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фармакопея РФ XIV изд. Том 1. ОФС.1.1.0004.15 «Отбор проб». [Электронное издание]. Режим доступа: http://femb.ru/femb/pharmacopea.php</w:t>
      </w:r>
    </w:p>
    <w:p w:rsidR="00452C5C" w:rsidRDefault="00452C5C" w:rsidP="00452C5C">
      <w:pPr>
        <w:pStyle w:val="Standard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Шишкова ВН, Адашева ТВ, Ременник АЮ и др. Предикторы развития повторного ишемического инсульта. Врач, 2018; 29 (2): 38–44.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eastAsia="Times New Roman" w:hAnsi="Times New Roman" w:cs="Times New Roman"/>
          <w:sz w:val="24"/>
          <w:szCs w:val="24"/>
        </w:rPr>
        <w:t>: 10.29296/25877305-2018-02-10.</w:t>
      </w:r>
    </w:p>
    <w:p w:rsidR="00452C5C" w:rsidRDefault="00452C5C" w:rsidP="00452C5C">
      <w:pPr>
        <w:pStyle w:val="Standard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Hashimoto S, Gonzalez G, Harada S et al. Recombinant type Human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mastadenovirus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D85 associated with epidemic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keratoconjunctivitis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since 2015 in Japan.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J. Med.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., 2018; 90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5): 881–889. DOI: 10.1002/jmv.25041.</w:t>
      </w:r>
    </w:p>
    <w:p w:rsidR="00452C5C" w:rsidRDefault="00452C5C" w:rsidP="00452C5C">
      <w:pPr>
        <w:pStyle w:val="Standard"/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Глазова НВ,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Куреченко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АН, Омельянова АП. Современные технологии выделения, очистки и модификации АФС (ферментов). Москва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КНОРУС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C5C" w:rsidRPr="00AF3076" w:rsidRDefault="00452C5C" w:rsidP="00452C5C">
      <w:pPr>
        <w:pStyle w:val="Standard"/>
        <w:numPr>
          <w:ilvl w:val="0"/>
          <w:numId w:val="1"/>
        </w:numPr>
        <w:spacing w:after="0" w:line="240" w:lineRule="auto"/>
        <w:ind w:hanging="36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Calendula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officinalis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 The Plant List. Available at: http://www.theplantlist.org/tpl1.1/record/gcc-107206 [Accessed 20 May, 2020].</w:t>
      </w:r>
    </w:p>
    <w:p w:rsidR="00452C5C" w:rsidRDefault="00452C5C" w:rsidP="00452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52C5C" w:rsidRPr="00AF3076" w:rsidRDefault="00452C5C" w:rsidP="00452C5C">
      <w:pPr>
        <w:pStyle w:val="Standard"/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SUMMARY</w:t>
      </w:r>
    </w:p>
    <w:p w:rsidR="00452C5C" w:rsidRDefault="00452C5C" w:rsidP="00452C5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52C5C" w:rsidRPr="00AF3076" w:rsidRDefault="00452C5C" w:rsidP="00452C5C">
      <w:pPr>
        <w:pStyle w:val="Standard"/>
        <w:spacing w:after="0" w:line="240" w:lineRule="auto"/>
        <w:ind w:firstLine="709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CAPILLARY ZONE ELECTROPHORESIS IN THE DETERMINATION</w:t>
      </w:r>
    </w:p>
    <w:p w:rsidR="00452C5C" w:rsidRPr="00AF3076" w:rsidRDefault="00452C5C" w:rsidP="00452C5C">
      <w:pPr>
        <w:pStyle w:val="Standard"/>
        <w:spacing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 INORGANIC CATIONS IN MEDICATIONS</w:t>
      </w:r>
    </w:p>
    <w:p w:rsidR="00452C5C" w:rsidRPr="00AF3076" w:rsidRDefault="00452C5C" w:rsidP="00452C5C">
      <w:pPr>
        <w:pStyle w:val="Standard"/>
        <w:spacing w:after="0" w:line="240" w:lineRule="auto"/>
        <w:ind w:firstLine="709"/>
        <w:jc w:val="center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Plekhanova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M.M.,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 student</w:t>
      </w:r>
    </w:p>
    <w:p w:rsidR="00452C5C" w:rsidRPr="00AF3076" w:rsidRDefault="00452C5C" w:rsidP="00452C5C">
      <w:pPr>
        <w:pStyle w:val="Standard"/>
        <w:spacing w:after="0" w:line="240" w:lineRule="auto"/>
        <w:ind w:firstLine="709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St. Petersburg State Chemical and Pharmaceutical University;</w:t>
      </w:r>
    </w:p>
    <w:p w:rsidR="00452C5C" w:rsidRPr="00AF3076" w:rsidRDefault="00452C5C" w:rsidP="00452C5C">
      <w:pPr>
        <w:pStyle w:val="Standard"/>
        <w:spacing w:after="0" w:line="240" w:lineRule="auto"/>
        <w:ind w:firstLine="709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14, Prof. Popov St., St. Petersburg, 197376, Russian Federation</w:t>
      </w:r>
    </w:p>
    <w:p w:rsidR="00452C5C" w:rsidRDefault="00452C5C" w:rsidP="00452C5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2C5C" w:rsidRPr="00AF3076" w:rsidRDefault="00452C5C" w:rsidP="00452C5C">
      <w:pPr>
        <w:pStyle w:val="Standard"/>
        <w:tabs>
          <w:tab w:val="left" w:pos="191"/>
          <w:tab w:val="right" w:pos="10204"/>
        </w:tabs>
        <w:spacing w:after="0" w:line="240" w:lineRule="auto"/>
        <w:ind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procedure has been developed for the qualitative and quantitative analysis of potassium, sodium, calcium and magnesium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drugs by capillary zone electrophoresis using lithium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an internal standard.</w:t>
      </w:r>
    </w:p>
    <w:p w:rsidR="00452C5C" w:rsidRPr="00AF3076" w:rsidRDefault="00452C5C" w:rsidP="00452C5C">
      <w:pPr>
        <w:pStyle w:val="Standard"/>
        <w:tabs>
          <w:tab w:val="left" w:pos="191"/>
          <w:tab w:val="right" w:pos="10204"/>
        </w:tabs>
        <w:spacing w:after="0" w:line="240" w:lineRule="auto"/>
        <w:ind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Key words: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capillary electrophoresis, capillary zone electrophoresis, inorganic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452C5C" w:rsidRDefault="00452C5C" w:rsidP="00452C5C">
      <w:pPr>
        <w:pStyle w:val="Standard"/>
        <w:tabs>
          <w:tab w:val="left" w:pos="191"/>
          <w:tab w:val="right" w:pos="10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2C5C" w:rsidRDefault="00452C5C" w:rsidP="00452C5C">
      <w:pPr>
        <w:pStyle w:val="Standard"/>
        <w:tabs>
          <w:tab w:val="left" w:pos="191"/>
          <w:tab w:val="right" w:pos="10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2C5C" w:rsidRDefault="00452C5C" w:rsidP="00452C5C">
      <w:pPr>
        <w:pStyle w:val="Standard"/>
        <w:tabs>
          <w:tab w:val="left" w:pos="191"/>
          <w:tab w:val="right" w:pos="1020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452C5C" w:rsidRPr="00AF3076" w:rsidRDefault="00452C5C" w:rsidP="00452C5C">
      <w:pPr>
        <w:pStyle w:val="Standard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Mashkovskij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Lekarstvennye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M.: RIA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 2012: 1216. (in Russian)</w:t>
      </w:r>
    </w:p>
    <w:p w:rsidR="00452C5C" w:rsidRDefault="00452C5C" w:rsidP="00452C5C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«Санкт-Петербургский государственный  химико-фармацевтический университет»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452C5C" w:rsidRDefault="00452C5C" w:rsidP="00452C5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(ФГБОУ ВО СПХФУ Минздрава России)</w:t>
      </w:r>
    </w:p>
    <w:p w:rsidR="00452C5C" w:rsidRDefault="00452C5C" w:rsidP="00452C5C">
      <w:pPr>
        <w:pStyle w:val="Standard"/>
        <w:tabs>
          <w:tab w:val="left" w:pos="191"/>
          <w:tab w:val="right" w:pos="1020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5C" w:rsidRDefault="00452C5C" w:rsidP="00452C5C">
      <w:pPr>
        <w:pStyle w:val="Standard"/>
        <w:tabs>
          <w:tab w:val="left" w:pos="191"/>
          <w:tab w:val="right" w:pos="10204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Оргкомитет конференции: СПХФУ, Санкт-Петербург</w:t>
      </w:r>
    </w:p>
    <w:p w:rsidR="00466A6E" w:rsidRDefault="00452C5C" w:rsidP="00452C5C">
      <w:hyperlink r:id="rId14" w:history="1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www.ypharm.spcp</w:t>
        </w:r>
      </w:hyperlink>
      <w:hyperlink r:id="rId15" w:history="1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u</w:t>
        </w:r>
      </w:hyperlink>
      <w:hyperlink r:id="rId16" w:history="1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young.pharm@pharminnotech.com</w:t>
        </w:r>
      </w:hyperlink>
      <w:bookmarkStart w:id="0" w:name="_GoBack"/>
      <w:bookmarkEnd w:id="0"/>
    </w:p>
    <w:sectPr w:rsidR="0046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A76"/>
    <w:multiLevelType w:val="multilevel"/>
    <w:tmpl w:val="1B724016"/>
    <w:styleLink w:val="WWNum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20F16C2E"/>
    <w:multiLevelType w:val="multilevel"/>
    <w:tmpl w:val="DA9C2E10"/>
    <w:styleLink w:val="WWNum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2DC80563"/>
    <w:multiLevelType w:val="multilevel"/>
    <w:tmpl w:val="A266B676"/>
    <w:styleLink w:val="WWNum7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3">
    <w:nsid w:val="34C94344"/>
    <w:multiLevelType w:val="multilevel"/>
    <w:tmpl w:val="A7B078C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8971637"/>
    <w:multiLevelType w:val="multilevel"/>
    <w:tmpl w:val="C756B6DA"/>
    <w:styleLink w:val="WWNum5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5">
    <w:nsid w:val="5B5B79F0"/>
    <w:multiLevelType w:val="multilevel"/>
    <w:tmpl w:val="88CC5D64"/>
    <w:styleLink w:val="WWNum2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7BFC4A8F"/>
    <w:multiLevelType w:val="multilevel"/>
    <w:tmpl w:val="4B7C2408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2"/>
    <w:lvlOverride w:ilvl="0"/>
  </w:num>
  <w:num w:numId="9">
    <w:abstractNumId w:val="4"/>
    <w:lvlOverride w:ilvl="0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  <w:lvlOverride w:ilvl="0"/>
  </w:num>
  <w:num w:numId="14">
    <w:abstractNumId w:val="5"/>
    <w:lvlOverride w:ilvl="0">
      <w:startOverride w:val="1"/>
    </w:lvlOverride>
  </w:num>
  <w:num w:numId="1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2F"/>
    <w:rsid w:val="00006C2F"/>
    <w:rsid w:val="00452C5C"/>
    <w:rsid w:val="004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5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C5C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Standard"/>
    <w:rsid w:val="00452C5C"/>
    <w:pPr>
      <w:ind w:left="720"/>
    </w:pPr>
  </w:style>
  <w:style w:type="character" w:customStyle="1" w:styleId="Internetlink">
    <w:name w:val="Internet link"/>
    <w:rsid w:val="00452C5C"/>
    <w:rPr>
      <w:rFonts w:cs="Times New Roman"/>
      <w:color w:val="0000FF"/>
      <w:u w:val="single"/>
    </w:rPr>
  </w:style>
  <w:style w:type="numbering" w:customStyle="1" w:styleId="WWNum2">
    <w:name w:val="WWNum2"/>
    <w:basedOn w:val="a2"/>
    <w:rsid w:val="00452C5C"/>
    <w:pPr>
      <w:numPr>
        <w:numId w:val="1"/>
      </w:numPr>
    </w:pPr>
  </w:style>
  <w:style w:type="numbering" w:customStyle="1" w:styleId="WWNum3">
    <w:name w:val="WWNum3"/>
    <w:basedOn w:val="a2"/>
    <w:rsid w:val="00452C5C"/>
    <w:pPr>
      <w:numPr>
        <w:numId w:val="2"/>
      </w:numPr>
    </w:pPr>
  </w:style>
  <w:style w:type="numbering" w:customStyle="1" w:styleId="WWNum4">
    <w:name w:val="WWNum4"/>
    <w:basedOn w:val="a2"/>
    <w:rsid w:val="00452C5C"/>
    <w:pPr>
      <w:numPr>
        <w:numId w:val="3"/>
      </w:numPr>
    </w:pPr>
  </w:style>
  <w:style w:type="numbering" w:customStyle="1" w:styleId="WWNum5">
    <w:name w:val="WWNum5"/>
    <w:basedOn w:val="a2"/>
    <w:rsid w:val="00452C5C"/>
    <w:pPr>
      <w:numPr>
        <w:numId w:val="4"/>
      </w:numPr>
    </w:pPr>
  </w:style>
  <w:style w:type="numbering" w:customStyle="1" w:styleId="WWNum7">
    <w:name w:val="WWNum7"/>
    <w:basedOn w:val="a2"/>
    <w:rsid w:val="00452C5C"/>
    <w:pPr>
      <w:numPr>
        <w:numId w:val="5"/>
      </w:numPr>
    </w:pPr>
  </w:style>
  <w:style w:type="numbering" w:customStyle="1" w:styleId="WWNum8">
    <w:name w:val="WWNum8"/>
    <w:basedOn w:val="a2"/>
    <w:rsid w:val="00452C5C"/>
    <w:pPr>
      <w:numPr>
        <w:numId w:val="6"/>
      </w:numPr>
    </w:pPr>
  </w:style>
  <w:style w:type="numbering" w:customStyle="1" w:styleId="WWNum18">
    <w:name w:val="WWNum18"/>
    <w:basedOn w:val="a2"/>
    <w:rsid w:val="00452C5C"/>
    <w:pPr>
      <w:numPr>
        <w:numId w:val="7"/>
      </w:numPr>
    </w:pPr>
  </w:style>
  <w:style w:type="paragraph" w:styleId="a4">
    <w:name w:val="Balloon Text"/>
    <w:basedOn w:val="a"/>
    <w:link w:val="a5"/>
    <w:uiPriority w:val="99"/>
    <w:semiHidden/>
    <w:unhideWhenUsed/>
    <w:rsid w:val="00452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5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C5C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paragraph" w:styleId="a3">
    <w:name w:val="List Paragraph"/>
    <w:basedOn w:val="Standard"/>
    <w:rsid w:val="00452C5C"/>
    <w:pPr>
      <w:ind w:left="720"/>
    </w:pPr>
  </w:style>
  <w:style w:type="character" w:customStyle="1" w:styleId="Internetlink">
    <w:name w:val="Internet link"/>
    <w:rsid w:val="00452C5C"/>
    <w:rPr>
      <w:rFonts w:cs="Times New Roman"/>
      <w:color w:val="0000FF"/>
      <w:u w:val="single"/>
    </w:rPr>
  </w:style>
  <w:style w:type="numbering" w:customStyle="1" w:styleId="WWNum2">
    <w:name w:val="WWNum2"/>
    <w:basedOn w:val="a2"/>
    <w:rsid w:val="00452C5C"/>
    <w:pPr>
      <w:numPr>
        <w:numId w:val="1"/>
      </w:numPr>
    </w:pPr>
  </w:style>
  <w:style w:type="numbering" w:customStyle="1" w:styleId="WWNum3">
    <w:name w:val="WWNum3"/>
    <w:basedOn w:val="a2"/>
    <w:rsid w:val="00452C5C"/>
    <w:pPr>
      <w:numPr>
        <w:numId w:val="2"/>
      </w:numPr>
    </w:pPr>
  </w:style>
  <w:style w:type="numbering" w:customStyle="1" w:styleId="WWNum4">
    <w:name w:val="WWNum4"/>
    <w:basedOn w:val="a2"/>
    <w:rsid w:val="00452C5C"/>
    <w:pPr>
      <w:numPr>
        <w:numId w:val="3"/>
      </w:numPr>
    </w:pPr>
  </w:style>
  <w:style w:type="numbering" w:customStyle="1" w:styleId="WWNum5">
    <w:name w:val="WWNum5"/>
    <w:basedOn w:val="a2"/>
    <w:rsid w:val="00452C5C"/>
    <w:pPr>
      <w:numPr>
        <w:numId w:val="4"/>
      </w:numPr>
    </w:pPr>
  </w:style>
  <w:style w:type="numbering" w:customStyle="1" w:styleId="WWNum7">
    <w:name w:val="WWNum7"/>
    <w:basedOn w:val="a2"/>
    <w:rsid w:val="00452C5C"/>
    <w:pPr>
      <w:numPr>
        <w:numId w:val="5"/>
      </w:numPr>
    </w:pPr>
  </w:style>
  <w:style w:type="numbering" w:customStyle="1" w:styleId="WWNum8">
    <w:name w:val="WWNum8"/>
    <w:basedOn w:val="a2"/>
    <w:rsid w:val="00452C5C"/>
    <w:pPr>
      <w:numPr>
        <w:numId w:val="6"/>
      </w:numPr>
    </w:pPr>
  </w:style>
  <w:style w:type="numbering" w:customStyle="1" w:styleId="WWNum18">
    <w:name w:val="WWNum18"/>
    <w:basedOn w:val="a2"/>
    <w:rsid w:val="00452C5C"/>
    <w:pPr>
      <w:numPr>
        <w:numId w:val="7"/>
      </w:numPr>
    </w:pPr>
  </w:style>
  <w:style w:type="paragraph" w:styleId="a4">
    <w:name w:val="Balloon Text"/>
    <w:basedOn w:val="a"/>
    <w:link w:val="a5"/>
    <w:uiPriority w:val="99"/>
    <w:semiHidden/>
    <w:unhideWhenUsed/>
    <w:rsid w:val="00452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.pharm@pharminnotech.com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HH2B91ekhCrqq4y97" TargetMode="External"/><Relationship Id="rId12" Type="http://schemas.openxmlformats.org/officeDocument/2006/relationships/hyperlink" Target="mailto:margarita.plekhanova@pharminnotech.com" TargetMode="External"/><Relationship Id="rId17" Type="http://schemas.openxmlformats.org/officeDocument/2006/relationships/hyperlink" Target="mailto:young.pharm@pharminnotech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pharm.spcp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pharm.spcpu.ru/" TargetMode="External"/><Relationship Id="rId11" Type="http://schemas.openxmlformats.org/officeDocument/2006/relationships/hyperlink" Target="https://search.crossref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pharm.spcpu.ru" TargetMode="External"/><Relationship Id="rId10" Type="http://schemas.openxmlformats.org/officeDocument/2006/relationships/hyperlink" Target="https://ru.qaz.wiki/wiki/Vancouver_syst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oung.pharm@pharminnotech.com" TargetMode="External"/><Relationship Id="rId14" Type="http://schemas.openxmlformats.org/officeDocument/2006/relationships/hyperlink" Target="http://www.ypharm.spc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2021-02-10T07:44:00Z</dcterms:created>
  <dcterms:modified xsi:type="dcterms:W3CDTF">2021-02-10T07:44:00Z</dcterms:modified>
</cp:coreProperties>
</file>